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48"/>
        <w:tblW w:w="9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2851"/>
      </w:tblGrid>
      <w:tr w:rsidR="00C253F0" w:rsidRPr="00C253F0" w14:paraId="3D76F858" w14:textId="77777777" w:rsidTr="00C253F0">
        <w:trPr>
          <w:trHeight w:val="888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FC7ED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AU"/>
              </w:rPr>
              <w:t>Criteria 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5C9AE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AU"/>
              </w:rPr>
              <w:t>Weighting  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C253F0" w:rsidRPr="00C253F0" w14:paraId="285B6EE3" w14:textId="77777777" w:rsidTr="00C253F0">
        <w:trPr>
          <w:trHeight w:val="888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22389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Strategic alignment 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9F0E5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30% 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C253F0" w:rsidRPr="00C253F0" w14:paraId="50AB487D" w14:textId="77777777" w:rsidTr="00C253F0">
        <w:trPr>
          <w:trHeight w:val="856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9D14E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Economic viability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F8B2F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25% 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C253F0" w:rsidRPr="00C253F0" w14:paraId="6A5854F5" w14:textId="77777777" w:rsidTr="00C253F0">
        <w:trPr>
          <w:trHeight w:val="888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8C903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Deliverability/Feasibility 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45D9F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25% 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C253F0" w:rsidRPr="00C253F0" w14:paraId="36A53191" w14:textId="77777777" w:rsidTr="00C253F0">
        <w:trPr>
          <w:trHeight w:val="888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01DAF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Affordability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A4E1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5%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C253F0" w:rsidRPr="00C253F0" w14:paraId="6570B802" w14:textId="77777777" w:rsidTr="00C253F0">
        <w:trPr>
          <w:trHeight w:val="888"/>
        </w:trPr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B5BBE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Desirability/Social Impact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B8096" w14:textId="77777777" w:rsidR="00C253F0" w:rsidRPr="00C253F0" w:rsidRDefault="00C253F0" w:rsidP="00C2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53F0">
              <w:rPr>
                <w:rFonts w:ascii="Calibri" w:eastAsia="Times New Roman" w:hAnsi="Calibri" w:cs="Calibri"/>
                <w:sz w:val="24"/>
                <w:szCs w:val="24"/>
                <w:lang w:val="en-US" w:eastAsia="en-AU"/>
              </w:rPr>
              <w:t>15% </w:t>
            </w:r>
            <w:r w:rsidRPr="00C253F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</w:tbl>
    <w:p w14:paraId="3EEB2909" w14:textId="2C66C398" w:rsidR="00C253F0" w:rsidRDefault="00C253F0">
      <w:pPr>
        <w:rPr>
          <w:b/>
          <w:bCs/>
          <w:sz w:val="28"/>
          <w:szCs w:val="28"/>
          <w:u w:val="single"/>
        </w:rPr>
      </w:pPr>
      <w:r w:rsidRPr="00C253F0">
        <w:rPr>
          <w:b/>
          <w:bCs/>
          <w:sz w:val="28"/>
          <w:szCs w:val="28"/>
          <w:u w:val="single"/>
        </w:rPr>
        <w:t>Investment Prioritisation Calculation Table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14:paraId="784C711C" w14:textId="77777777" w:rsidR="00C253F0" w:rsidRPr="00C253F0" w:rsidRDefault="00C253F0">
      <w:pPr>
        <w:rPr>
          <w:b/>
          <w:bCs/>
          <w:sz w:val="28"/>
          <w:szCs w:val="28"/>
          <w:u w:val="single"/>
        </w:rPr>
      </w:pPr>
    </w:p>
    <w:sectPr w:rsidR="00C253F0" w:rsidRPr="00C25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F0"/>
    <w:rsid w:val="00C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0"/>
  <w15:chartTrackingRefBased/>
  <w15:docId w15:val="{EABB04EF-B814-4139-BBCA-0937DCB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1</cp:revision>
  <dcterms:created xsi:type="dcterms:W3CDTF">2021-02-23T03:52:00Z</dcterms:created>
  <dcterms:modified xsi:type="dcterms:W3CDTF">2021-02-23T03:55:00Z</dcterms:modified>
</cp:coreProperties>
</file>